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26CC" w:rsidRPr="004B174D" w:rsidRDefault="009F31AE" w:rsidP="003926CC">
      <w:pPr>
        <w:spacing w:after="480"/>
        <w:jc w:val="center"/>
        <w:rPr>
          <w:b/>
          <w:bCs/>
          <w:sz w:val="40"/>
          <w:szCs w:val="40"/>
        </w:rPr>
      </w:pPr>
      <w:bookmarkStart w:id="0" w:name="_GoBack"/>
      <w:bookmarkEnd w:id="0"/>
      <w:r>
        <w:rPr>
          <w:b/>
          <w:bCs/>
          <w:sz w:val="40"/>
          <w:szCs w:val="40"/>
        </w:rPr>
        <w:t>USNESENÍ</w:t>
      </w:r>
      <w:r w:rsidR="00F11093">
        <w:rPr>
          <w:b/>
          <w:bCs/>
          <w:sz w:val="40"/>
          <w:szCs w:val="40"/>
        </w:rPr>
        <w:br/>
      </w:r>
      <w:r w:rsidR="00F11093" w:rsidRPr="00F11093">
        <w:rPr>
          <w:bCs/>
          <w:sz w:val="20"/>
        </w:rPr>
        <w:t>(anonymizovaný opis)</w:t>
      </w:r>
    </w:p>
    <w:p w:rsidR="004A5914" w:rsidRPr="008A6F24" w:rsidRDefault="008A6F24" w:rsidP="008A6F24">
      <w:r w:rsidRPr="008A6F24">
        <w:t xml:space="preserve">Krajský soud v Plzni rozhodl ve veřejném zasedání konaném dne 21. listopadu 2018 v trestní věci obžalované </w:t>
      </w:r>
      <w:r>
        <w:t>[</w:t>
      </w:r>
      <w:r w:rsidRPr="008A6F24">
        <w:rPr>
          <w:shd w:val="clear" w:color="auto" w:fill="CCCCCC"/>
        </w:rPr>
        <w:t>údaje o účastníkovi</w:t>
      </w:r>
      <w:r w:rsidRPr="008A6F24">
        <w:t>]</w:t>
      </w:r>
    </w:p>
    <w:p w:rsidR="00F11093" w:rsidRDefault="00F11093" w:rsidP="008A0B5D">
      <w:pPr>
        <w:pStyle w:val="Nadpisstirozsudku"/>
      </w:pPr>
      <w:r w:rsidRPr="00F11093">
        <w:t>takto</w:t>
      </w:r>
      <w:r>
        <w:t>:</w:t>
      </w:r>
    </w:p>
    <w:p w:rsidR="008A0B5D" w:rsidRPr="008A6F24" w:rsidRDefault="008A6F24" w:rsidP="008A6F24">
      <w:pPr>
        <w:jc w:val="left"/>
      </w:pPr>
      <w:r w:rsidRPr="008A6F24">
        <w:t xml:space="preserve">K odvolání státní zástupkyně Okresního státního zastupitelství Plzeň – sever, obžalované </w:t>
      </w:r>
      <w:r>
        <w:t>[</w:t>
      </w:r>
      <w:r w:rsidRPr="008A6F24">
        <w:rPr>
          <w:shd w:val="clear" w:color="auto" w:fill="CCCCCC"/>
        </w:rPr>
        <w:t>jméno</w:t>
      </w:r>
      <w:r w:rsidRPr="008A6F24">
        <w:t xml:space="preserve">] </w:t>
      </w:r>
      <w:r>
        <w:t>[</w:t>
      </w:r>
      <w:r w:rsidRPr="008A6F24">
        <w:rPr>
          <w:shd w:val="clear" w:color="auto" w:fill="CCCCCC"/>
        </w:rPr>
        <w:t>příjmení</w:t>
      </w:r>
      <w:r w:rsidRPr="008A6F24">
        <w:t xml:space="preserve">], narozené </w:t>
      </w:r>
      <w:r>
        <w:t>[</w:t>
      </w:r>
      <w:r w:rsidRPr="008A6F24">
        <w:rPr>
          <w:shd w:val="clear" w:color="auto" w:fill="CCCCCC"/>
        </w:rPr>
        <w:t>datum</w:t>
      </w:r>
      <w:r w:rsidRPr="008A6F24">
        <w:t xml:space="preserve">], a poškozeného </w:t>
      </w:r>
      <w:r>
        <w:t>[</w:t>
      </w:r>
      <w:r w:rsidRPr="008A6F24">
        <w:rPr>
          <w:shd w:val="clear" w:color="auto" w:fill="CCCCCC"/>
        </w:rPr>
        <w:t>jméno</w:t>
      </w:r>
      <w:r w:rsidRPr="008A6F24">
        <w:t xml:space="preserve">] </w:t>
      </w:r>
      <w:r>
        <w:t>[</w:t>
      </w:r>
      <w:r w:rsidRPr="008A6F24">
        <w:rPr>
          <w:shd w:val="clear" w:color="auto" w:fill="CCCCCC"/>
        </w:rPr>
        <w:t>příjmení</w:t>
      </w:r>
      <w:r w:rsidRPr="008A6F24">
        <w:t xml:space="preserve">], narozeného </w:t>
      </w:r>
      <w:r>
        <w:t>[</w:t>
      </w:r>
      <w:r w:rsidRPr="008A6F24">
        <w:rPr>
          <w:shd w:val="clear" w:color="auto" w:fill="CCCCCC"/>
        </w:rPr>
        <w:t>datum</w:t>
      </w:r>
      <w:r w:rsidRPr="008A6F24">
        <w:t>], se podle § 257 odst. 1 písm. a) trestního řádu ruší rozsudek Okresního soudu Plzeň – sever ze dne 5. září 2018 č. j. 22 T 141/2017 – 631 a věc se předkládá k rozhodnutí o příslušnosti soudu Vrchnímu soudu v Praze.</w:t>
      </w:r>
    </w:p>
    <w:p w:rsidR="008A0B5D" w:rsidRDefault="008A0B5D" w:rsidP="008A0B5D">
      <w:pPr>
        <w:pStyle w:val="Nadpisstirozsudku"/>
      </w:pPr>
      <w:r>
        <w:t>Odůvodnění:</w:t>
      </w:r>
    </w:p>
    <w:p w:rsidR="008A6F24" w:rsidRDefault="008A6F24" w:rsidP="008A6F24">
      <w:r w:rsidRPr="008A6F24">
        <w:t xml:space="preserve">1. Napadeným rozsudkem byla obžalovaná </w:t>
      </w:r>
      <w:r>
        <w:t>[</w:t>
      </w:r>
      <w:r w:rsidRPr="008A6F24">
        <w:rPr>
          <w:shd w:val="clear" w:color="auto" w:fill="CCCCCC"/>
        </w:rPr>
        <w:t>jméno</w:t>
      </w:r>
      <w:r w:rsidRPr="008A6F24">
        <w:t xml:space="preserve">] </w:t>
      </w:r>
      <w:r>
        <w:t>[</w:t>
      </w:r>
      <w:r w:rsidRPr="008A6F24">
        <w:rPr>
          <w:shd w:val="clear" w:color="auto" w:fill="CCCCCC"/>
        </w:rPr>
        <w:t>příjmení</w:t>
      </w:r>
      <w:r w:rsidRPr="008A6F24">
        <w:t xml:space="preserve">] uznána vinnou, že dne 23. února 2017 v době po 8.43 hodin v obci </w:t>
      </w:r>
      <w:r>
        <w:t>[</w:t>
      </w:r>
      <w:r w:rsidRPr="008A6F24">
        <w:rPr>
          <w:shd w:val="clear" w:color="auto" w:fill="CCCCCC"/>
        </w:rPr>
        <w:t>obec</w:t>
      </w:r>
      <w:r w:rsidRPr="008A6F24">
        <w:t xml:space="preserve">], okres  Plzeň - sever, v rodinném domě v ulici </w:t>
      </w:r>
      <w:r>
        <w:t>[</w:t>
      </w:r>
      <w:r w:rsidRPr="008A6F24">
        <w:rPr>
          <w:shd w:val="clear" w:color="auto" w:fill="CCCCCC"/>
        </w:rPr>
        <w:t>adresa</w:t>
      </w:r>
      <w:r w:rsidRPr="008A6F24">
        <w:t xml:space="preserve">], po předchozí slovní rozepři se svým, dnes již bývalým, manželem, </w:t>
      </w:r>
      <w:r>
        <w:t>[</w:t>
      </w:r>
      <w:r w:rsidRPr="008A6F24">
        <w:rPr>
          <w:shd w:val="clear" w:color="auto" w:fill="CCCCCC"/>
        </w:rPr>
        <w:t>jméno</w:t>
      </w:r>
      <w:r w:rsidRPr="008A6F24">
        <w:t xml:space="preserve">] </w:t>
      </w:r>
      <w:r>
        <w:t>[</w:t>
      </w:r>
      <w:r w:rsidRPr="008A6F24">
        <w:rPr>
          <w:shd w:val="clear" w:color="auto" w:fill="CCCCCC"/>
        </w:rPr>
        <w:t>příjmení</w:t>
      </w:r>
      <w:r w:rsidRPr="008A6F24">
        <w:t xml:space="preserve">], narozeným </w:t>
      </w:r>
      <w:r>
        <w:t>[</w:t>
      </w:r>
      <w:r w:rsidRPr="008A6F24">
        <w:rPr>
          <w:shd w:val="clear" w:color="auto" w:fill="CCCCCC"/>
        </w:rPr>
        <w:t>datum</w:t>
      </w:r>
      <w:r w:rsidRPr="008A6F24">
        <w:t xml:space="preserve">], a po opakovaném slovním spojení„ ty si myslíš, že tě nezabiju“, uchopila z dřevěného pouzdra visícího na zdi nad schodištěm dýku s délkou čepele 10,5 cm, kterou ho dvakrát po sobě při neměnné intenzitě násilí bodla do zevní plochy horní poloviny levé paže a do zadní plochy horní třetiny levé paže, čímž mu způsobila bodnou ránu na zevní ploše horní poloviny levé paže velikosti do 2 cm, která pronikla kůží, podkožím a zasahovala nejspíše až do svaloviny, dále bodnou ránu na zadní ploše horní třetiny levé paže, kdy uvedená bodná rána dosahovala délky cca 0,5 cm, šířky cca 0,2 cm a hloubky cca 0,3 cm, tedy pronikla kůží do podkoží, jakož i drobné poranění povrchu kůže vlevo a na boční ploše horní části hrudníku v čáře zadní pažní, charakteru drobné oděrky či zcela drobné povrchní rány, kdy obě tyto bodné rány paže se po několika dnech manifestovaly rozsáhlým podkožním krevním výronem levé paže a přilehlé plochy levého předloktí, tedy zranění ostrého charakteru, které podle lokalizace poranění na zevní a zadní ploše levé paže svědčí o skutečnosti, že se poškozený </w:t>
      </w:r>
      <w:r>
        <w:t>[</w:t>
      </w:r>
      <w:r w:rsidRPr="008A6F24">
        <w:rPr>
          <w:shd w:val="clear" w:color="auto" w:fill="CCCCCC"/>
        </w:rPr>
        <w:t>příjmení</w:t>
      </w:r>
      <w:r w:rsidRPr="008A6F24">
        <w:t>] výpadům dýky bránil mj. aktivním pohybem horní končetiny proti zraňujícímu předmětu, a to přizvednutím paže, neboť pokud by tak neučinil, byly by dráze pohybující se čepele dýky vystaveny především oblasti obličejové části jeho hlavy a krku, což by vedlo k poranění velkých cév (lícní tepny, hrdelní žíly a krkavice) a v důsledku toho k prudké a masivní krevní ztrátě s možností, v případě poranění velkých žil na krku, i tzv. vzduchové embolii, kdy takováto poranění by bylo nutno ze soudně lékařského hlediska hodnotit jako zranění těžká a vážná, při nichž dochází k bezprostřednímu ohrožení zraněné osoby na životě, přičemž v případě, že by došlo k zasažení horní části přední či boční plochy hrudníku, mohla čepel dýky proniknout celou stěnou hrudníku (za situace, že by nedošlo v jeho průběhu k zasažení kostěné části žebra) až do pohrudniční dutiny, čímž by hrozilo bodné poranění plíce, které ohrožuje zraněnou osobu především krevní ztrátou, když případný průnik vzduchu do pohrudniční dutiny by měl za následek akutní dechové selhání, uvedená zranění by tak z hlediska soudně lékařského již byla zpravidla hodnocena jako těžká a vážná, a mohla by zraněnou osobu i bezprostředně ohrozit na životě, tedy dopustila se jednání, které bezprostředně směřovalo k úmyslnému způsobení jinému těžké újmy na zdraví, k jehož dokonání nedošlo.</w:t>
      </w:r>
    </w:p>
    <w:p w:rsidR="008A6F24" w:rsidRDefault="008A6F24" w:rsidP="008A6F24">
      <w:r w:rsidRPr="008A6F24">
        <w:t xml:space="preserve">2. Toto jednání obžalované okresní soud právně kvalifikoval jako pokus zločinu těžkého ublížení na zdraví podle § 21 odst. 1 trestního zákoníku k § 145 odst. 1 trestního zákoníku a za to jí uložil podle § 145 odst. 1 trestního zákoníku za použití § 58 odst. 1, odst. 3 písm. c) trestního zákoníku trest odnětí svobody v trvání jednoho roku. Podle § 81 odst. 1 trestního zákoníku za použití § 82 odst. 1 trestního zákoníku jí byl výkon uloženého trestu odnětí svobody podmíněně odložen na </w:t>
      </w:r>
      <w:r w:rsidRPr="008A6F24">
        <w:lastRenderedPageBreak/>
        <w:t xml:space="preserve">zkušební dobu v trvání tří roků. Podle § 70 odst. 2 písm. a) trestního zákoníku byl obžalované dále uložen trest propadnutí věci, a to kovového pouzdra na nůž žluté barvy a 1 ks kovového nože s ozdobnou rukojetí, které byly zajištěny při ohledání místa činu v rodinném domě </w:t>
      </w:r>
      <w:r>
        <w:t>[</w:t>
      </w:r>
      <w:r w:rsidRPr="008A6F24">
        <w:rPr>
          <w:shd w:val="clear" w:color="auto" w:fill="CCCCCC"/>
        </w:rPr>
        <w:t>adresa</w:t>
      </w:r>
      <w:r w:rsidR="009F31AE">
        <w:t xml:space="preserve">] </w:t>
      </w:r>
      <w:r w:rsidRPr="008A6F24">
        <w:t xml:space="preserve">v obci </w:t>
      </w:r>
      <w:r>
        <w:t>[</w:t>
      </w:r>
      <w:r w:rsidRPr="008A6F24">
        <w:rPr>
          <w:shd w:val="clear" w:color="auto" w:fill="CCCCCC"/>
        </w:rPr>
        <w:t>obec</w:t>
      </w:r>
      <w:r w:rsidRPr="008A6F24">
        <w:t xml:space="preserve">]. Podle § 228 odst. 1 trestního řádu byla obžalované uložena povinnost uhradit poškozené Všeobecné zdravotní pojišťovně ČR, Regionální pobočce Plzeň, se sídlem Plzeň, Sady  </w:t>
      </w:r>
      <w:r w:rsidR="009F31AE">
        <w:t>5. května 59</w:t>
      </w:r>
      <w:r w:rsidRPr="008A6F24">
        <w:t xml:space="preserve">, škodu způsobenou trestným činem v částce 5 662 Kč. Podle § 229 odst. 1 trestního řádu byl poškozený </w:t>
      </w:r>
      <w:r>
        <w:t>[</w:t>
      </w:r>
      <w:r w:rsidRPr="008A6F24">
        <w:rPr>
          <w:shd w:val="clear" w:color="auto" w:fill="CCCCCC"/>
        </w:rPr>
        <w:t>jméno</w:t>
      </w:r>
      <w:r w:rsidRPr="008A6F24">
        <w:t xml:space="preserve">] </w:t>
      </w:r>
      <w:r>
        <w:t>[</w:t>
      </w:r>
      <w:r w:rsidRPr="008A6F24">
        <w:rPr>
          <w:shd w:val="clear" w:color="auto" w:fill="CCCCCC"/>
        </w:rPr>
        <w:t>příjmení</w:t>
      </w:r>
      <w:r w:rsidRPr="008A6F24">
        <w:t>], zastoupený zmocněncem JUDr. Karlem Mateřánkou, advokátem se sídlem v Plzni, odkázán se svým nárokem na náhradu škody na řízení ve věcech občanskoprávních.</w:t>
      </w:r>
    </w:p>
    <w:p w:rsidR="008A6F24" w:rsidRDefault="008A6F24" w:rsidP="008A6F24">
      <w:r w:rsidRPr="008A6F24">
        <w:t xml:space="preserve">3. Proti tomuto rozsudku podali v zákonné lhůtě odvolání státní zástupkyně Okresního státního zastupitelství Plzeň – sever, obžalovaná </w:t>
      </w:r>
      <w:r>
        <w:t>[</w:t>
      </w:r>
      <w:r w:rsidRPr="008A6F24">
        <w:rPr>
          <w:shd w:val="clear" w:color="auto" w:fill="CCCCCC"/>
        </w:rPr>
        <w:t>jméno</w:t>
      </w:r>
      <w:r w:rsidRPr="008A6F24">
        <w:t xml:space="preserve">] </w:t>
      </w:r>
      <w:r>
        <w:t>[</w:t>
      </w:r>
      <w:r w:rsidRPr="008A6F24">
        <w:rPr>
          <w:shd w:val="clear" w:color="auto" w:fill="CCCCCC"/>
        </w:rPr>
        <w:t>příjmení</w:t>
      </w:r>
      <w:r w:rsidRPr="008A6F24">
        <w:t xml:space="preserve">] a poškozený </w:t>
      </w:r>
      <w:r>
        <w:t>[</w:t>
      </w:r>
      <w:r w:rsidRPr="008A6F24">
        <w:rPr>
          <w:shd w:val="clear" w:color="auto" w:fill="CCCCCC"/>
        </w:rPr>
        <w:t>jméno</w:t>
      </w:r>
      <w:r w:rsidRPr="008A6F24">
        <w:t xml:space="preserve">] </w:t>
      </w:r>
      <w:r>
        <w:t>[</w:t>
      </w:r>
      <w:r w:rsidRPr="008A6F24">
        <w:rPr>
          <w:shd w:val="clear" w:color="auto" w:fill="CCCCCC"/>
        </w:rPr>
        <w:t>příjmení</w:t>
      </w:r>
      <w:r w:rsidRPr="008A6F24">
        <w:t xml:space="preserve">]. Všichni svá odvolání podrobně písemně zdůvodnili, obžalovaná prostřednictvím svého obhájce a poškozený </w:t>
      </w:r>
      <w:r>
        <w:t>[</w:t>
      </w:r>
      <w:r w:rsidRPr="008A6F24">
        <w:rPr>
          <w:shd w:val="clear" w:color="auto" w:fill="CCCCCC"/>
        </w:rPr>
        <w:t>jméno</w:t>
      </w:r>
      <w:r w:rsidRPr="008A6F24">
        <w:t xml:space="preserve">] </w:t>
      </w:r>
      <w:r>
        <w:t>[</w:t>
      </w:r>
      <w:r w:rsidRPr="008A6F24">
        <w:rPr>
          <w:shd w:val="clear" w:color="auto" w:fill="CCCCCC"/>
        </w:rPr>
        <w:t>příjmení</w:t>
      </w:r>
      <w:r w:rsidRPr="008A6F24">
        <w:t>] prostřednictvím svého zmocněnce. V písemně zdůvodněných odvoláních vyjádřili své výhrady proti rozhodnutí soudu prvního stupně.</w:t>
      </w:r>
    </w:p>
    <w:p w:rsidR="008A6F24" w:rsidRDefault="008A6F24" w:rsidP="008A6F24">
      <w:r w:rsidRPr="008A6F24">
        <w:t>4. Státní zástupkyně podala odvolání proti napadenému rozsudku v neprospěch obžalované a zaměřila je pouze proti výroku o trestu. Vytkla okresnímu soudu, že z jeho rozhodnutí nelze souhlasit zejména, pokud bylo postupováno v intencích ustanovení § 58 odst. 1, odst. 3 písm. c) trestního zákoníku pojednávajícím o mimořádném snížení trestu odnětí svobody pod dolní hranici. Poukázala na to, že v daném případě byla obžalovaná v případě uznání viny ohrožena trestem odnětí svobody v rozmezí tři léta až deset let. Vzhledem k charakteru stíhané trestné činnosti včetně okolností případu se domnívá, že aplikace zmíněného zákonného ustanovení v úvahu nepřicházela. Pokud by i přesto nalézací soud dospěl k závěru o možném užití mimořádného snížení trestu odnětí svobody podle § 58 trestního zákoníku, odvolatelka se domnívá, že takto uložený trest by mohl být akceptován v případě jeho minimální výměry dvou roků, jehož výkon by byl podmíněně odložen na zkušební dobu v trvání tří až čtyř roků. Navrhla proto, aby Krajský soud v Plzni napadený rozsudek zrušil ve výroku o trestu a obžalované uložil trest odnětí svobody na samé spodní hranici zákonem stanovené výměry pro trestný čin, z jehož spáchání byla nalézacím soudem uznána vinnou, případně trest odnětí svobody v trvání dvou roků za použití ustanovení § 58 odst. 1, odst. 3 písm. c) trestního zákoníku a jeho výkon by podmíněně odložil na zkušební dobu v trvání tří až čtyř roků, zároveň aby podle § 70 odst. 2 písm. a) trestního zákoníku uložil trest propadnutí věci.</w:t>
      </w:r>
    </w:p>
    <w:p w:rsidR="008A6F24" w:rsidRDefault="008A6F24" w:rsidP="008A6F24">
      <w:r w:rsidRPr="008A6F24">
        <w:t xml:space="preserve">5. Obžalovaná </w:t>
      </w:r>
      <w:r>
        <w:t>[</w:t>
      </w:r>
      <w:r w:rsidRPr="008A6F24">
        <w:rPr>
          <w:shd w:val="clear" w:color="auto" w:fill="CCCCCC"/>
        </w:rPr>
        <w:t>jméno</w:t>
      </w:r>
      <w:r w:rsidRPr="008A6F24">
        <w:t xml:space="preserve">] </w:t>
      </w:r>
      <w:r>
        <w:t>[</w:t>
      </w:r>
      <w:r w:rsidRPr="008A6F24">
        <w:rPr>
          <w:shd w:val="clear" w:color="auto" w:fill="CCCCCC"/>
        </w:rPr>
        <w:t>příjmení</w:t>
      </w:r>
      <w:r w:rsidRPr="008A6F24">
        <w:t xml:space="preserve">] okresnímu soudu vytkla, že v rámci svého rozhodnutí nezohlednil veškeré podstatné okolnosti, které by mohly mít vliv na posouzení jejího jednání. Nepopřela, že mezi ní a bývalým manželem došlo dne 23. února 2017 ke konfliktu, který vyústil v její trestní stíhání, nicméně má za to, že poškozený zcela plánovitě využil její narušený psychický stav a konflikt záměrně vyvolal. To dovozuje zejména z toho, že si událost nahrával. Okresní soud se dále nezabýval tím, zda její jednání vykazovalo znaky syndromu týrané ženy. Příslušní znalci se touto otázkou nezabývali a podle názoru odvolatelky tak je na místě doplnění znaleckých posudků v tomto směru. K prokázání pravdivosti výpovědi obžalované byl navržen výslech ošetřující lékařky psychiatrické kliniky Fakultní nemocnice Plzeň MUDr. </w:t>
      </w:r>
      <w:r>
        <w:t>[</w:t>
      </w:r>
      <w:r w:rsidRPr="008A6F24">
        <w:rPr>
          <w:shd w:val="clear" w:color="auto" w:fill="CCCCCC"/>
        </w:rPr>
        <w:t>jméno</w:t>
      </w:r>
      <w:r w:rsidRPr="008A6F24">
        <w:t xml:space="preserve">] </w:t>
      </w:r>
      <w:r>
        <w:t>[</w:t>
      </w:r>
      <w:r w:rsidRPr="008A6F24">
        <w:rPr>
          <w:shd w:val="clear" w:color="auto" w:fill="CCCCCC"/>
        </w:rPr>
        <w:t>příjmení</w:t>
      </w:r>
      <w:r w:rsidRPr="008A6F24">
        <w:t>], tento důkaz soudem prvního stupně proveden nebyl.</w:t>
      </w:r>
    </w:p>
    <w:p w:rsidR="008A6F24" w:rsidRDefault="008A6F24" w:rsidP="008A6F24">
      <w:r w:rsidRPr="008A6F24">
        <w:t>6. Pokud pak jde o hmotně právní posouzení jejího jednání, obžalovaná má za to, že v řízení nebyla prokázána subjektivní stránka jejího jednání, ačkoli právě úmysl tvoří znak skutkové podstaty stíhaného trestného činu. Podle jejího názoru nebyl prokázán v jejím jednání ani úmysl nepřímý.</w:t>
      </w:r>
    </w:p>
    <w:p w:rsidR="008A6F24" w:rsidRDefault="008A6F24" w:rsidP="008A6F24">
      <w:r w:rsidRPr="008A6F24">
        <w:t xml:space="preserve">7. Obžalovaná si je vědoma, že hodnocení dokazování je výsostným právem nalézacího soudu, nicméně i ten se musí držet ustálených zásad. Navíc v rámci provedené rekonstrukce nebyla vyvrácena její verze, o čemž ostatně svědčí i zranění způsobené poškozenému. V tomto směru okresní soud nepostupoval ve smyslu zásady in dubio pro reo, kdy měl v pochybnostech </w:t>
      </w:r>
      <w:r w:rsidRPr="008A6F24">
        <w:lastRenderedPageBreak/>
        <w:t>rozhodnout o následku pro obžalovanou příznivějším. Navrhla proto, aby Krajský soud v Plzni napadený rozsudek zrušil a znovu ve věci alternativně rozhodl tak, že obžalovanou uzná vinnou trestným činem ublížení na zdraví podle § 146 trestního zákoníku, případně ji zprostí obžaloby dle § 226 písm. b) trestního řádu nebo podle § 222 odst. 2 trestního řádu postoupí věc jinému orgánu.</w:t>
      </w:r>
    </w:p>
    <w:p w:rsidR="008A6F24" w:rsidRDefault="008A6F24" w:rsidP="008A6F24">
      <w:r w:rsidRPr="008A6F24">
        <w:t xml:space="preserve">8. Poškozený </w:t>
      </w:r>
      <w:r>
        <w:t>[</w:t>
      </w:r>
      <w:r w:rsidRPr="008A6F24">
        <w:rPr>
          <w:shd w:val="clear" w:color="auto" w:fill="CCCCCC"/>
        </w:rPr>
        <w:t>jméno</w:t>
      </w:r>
      <w:r w:rsidRPr="008A6F24">
        <w:t xml:space="preserve">] </w:t>
      </w:r>
      <w:r>
        <w:t>[</w:t>
      </w:r>
      <w:r w:rsidRPr="008A6F24">
        <w:rPr>
          <w:shd w:val="clear" w:color="auto" w:fill="CCCCCC"/>
        </w:rPr>
        <w:t>příjmení</w:t>
      </w:r>
      <w:r w:rsidRPr="008A6F24">
        <w:t>] prostřednictvím svého zmocněnce vytkl okresnímu soudu zejména to, že nedůvodně poškozeného odkázal s celým jeho nárokem na řízení občanskoprávní ve smyslu § 229 odst. 1 trestního řádu. Podrobně pak připomněl, jaké nároky v této věci uplatnil a z jakých důvodů s tím, že má za to, že byly také náležitě doloženy včetně zpracovaného znaleckého posudku, který se zabýval zejména ztížením společenského uplatnění poškozeného (znalecký posudek znalce MUDr. Michala Hrona). Odkázal pak konkrétně na argumentaci týkající se jednak tohoto nároku, jednak nároku na úhradu bolestného, jiné nemajetkové újmy z titulu duševních útrap a dále pak i nákladů za zpracovaný znalecký posudek a náklady související s uplatněním nároku poškozeného v tomto trestním řízení na náhradu škody nebo nemajetkové újmy. Poškozený navrhl, aby Krajský soud v Plzni napadený rozsudek zrušil v části, v níž poškozeného odkázal dle § 229 odst. 1 trestního řádu na řízení ve věcech občanskoprávních a sám rozhodl tak, že poškozenému přiznává jako náhradu škody nároky uplatněné proti obžalované v tomto trestním řízení a vyplývající z jeho dřívějších podání a návrhů včetně podaného odvolání.</w:t>
      </w:r>
    </w:p>
    <w:p w:rsidR="008A6F24" w:rsidRDefault="008A6F24" w:rsidP="008A6F24">
      <w:r w:rsidRPr="008A6F24">
        <w:t>9. Strany měly zároveň možnost vzájemně se vyjádřit k podaným odvoláním. Setrvaly na argumentaci vyplývající z jimi podaných odvolání, státní zástupkyně intervenující ve veřejném zasedání u odvolacího soudu navrhla zamítnout odvolání obžalované a poškozeného jako nedůvodná.</w:t>
      </w:r>
    </w:p>
    <w:p w:rsidR="008A6F24" w:rsidRDefault="008A6F24" w:rsidP="008A6F24">
      <w:r w:rsidRPr="008A6F24">
        <w:t>10. Krajský soud v Plzni přezkoumal postupem dle § 254 trestního řádu zákonnost a odůvodněnost výroků, proti nimž odvolatelé brojili, vědom si zaměření jimi podaných odvolání, přezkoumal zároveň řízení, které jim předcházelo. Měl při tom na zřeteli výhrady a námitky vznášené jednotlivými odvolateli. K vadám, které nebyly odvolateli vytýkány, přihlížel, jen pokud měly vliv na správnost výroků odvoláními napadených. Aniž by bylo nutno dále z níže uvedených důvodů zabývat se všemi konkrétními námitkami odvolatelů, dospěl krajský soud k závěru, že předchozí řízení u soudu prvního stupně trpí vadou, kterou svým rozhodnutím napravil odvolací soud. Ten totiž dospěl k závěru, že již soud prvního stupně měl vzhledem ke všem okolnostem případu po provedení dokazování a jeho vyhodnocení včetně posouzení subjektivní stránky jednání obžalované uzavřít, že se v dané věci jedná o trestný čin, k jehož projednání není příslušný a měl tak danou trestní věc předložit k rozhodnutí o příslušnosti soudu, který je nejblíže společně nadřízený jemu a soudu, jenž je podle něj příslušný (§ 222 odst. 1 věta první trestního řádu). K vysvětlení nyní naznačeného postupu je třeba uvést následující.</w:t>
      </w:r>
    </w:p>
    <w:p w:rsidR="008A6F24" w:rsidRDefault="008A6F24" w:rsidP="008A6F24">
      <w:r w:rsidRPr="008A6F24">
        <w:t xml:space="preserve">11. Trestní stíhání obžalované </w:t>
      </w:r>
      <w:r>
        <w:t>[</w:t>
      </w:r>
      <w:r w:rsidRPr="008A6F24">
        <w:rPr>
          <w:shd w:val="clear" w:color="auto" w:fill="CCCCCC"/>
        </w:rPr>
        <w:t>jméno</w:t>
      </w:r>
      <w:r w:rsidRPr="008A6F24">
        <w:t xml:space="preserve">] </w:t>
      </w:r>
      <w:r>
        <w:t>[</w:t>
      </w:r>
      <w:r w:rsidRPr="008A6F24">
        <w:rPr>
          <w:shd w:val="clear" w:color="auto" w:fill="CCCCCC"/>
        </w:rPr>
        <w:t>příjmení</w:t>
      </w:r>
      <w:r w:rsidRPr="008A6F24">
        <w:t xml:space="preserve">] bylo zahájeno usnesením policejního orgánu ze dne 11. července 2017 pro skutek právně kvalifikovaný jako zločin těžkého ublížení na zdraví podle § 145 odst. 1 trestního zákoníku ve stadiu pokusu podle § 21 trestního zákoníku. Popis skutku se až na nepatrné odlišnosti shodoval s podanou obžalobou, která napadla u soudu prvního stupně dne 12. prosince 2017 pro týž skutek se stejnou právní kvalifikací. Již v podané obžalobě bylo v popisu skutku uvedeno, že obžalovaná si zde popisovaným způsobem měla počínat po předchozí slovní rozepři s poškozeným a po opakovaném slovním spojení„ ty si myslíš, že tě nezabiju“ uchopila z dřevěného pouzdra visícího na zdi nad schodištěm dýku s délkou čepele 10,5 cm, kterou ho dvakrát po sobě při neměnné intenzitě násilí bodla do zevní plochy horní poloviny levé paže a do zadní plochy horní třetiny levé paže, čímž mu způsobila dále popisované zranění. Zároveň bylo konstatováno, že poškozený se výpadům obžalované bránil aktivním pohybem proti zraňujícímu předmětu přizvednutím paže. Pokud by tak neučinil, byly by dráze pohybující se čepele dýky vystaveny především oblasti obličejové části hlavy a krku, což by vedlo k poranění velkých cév a v důsledku toho k prudké a masivní krevní ztrátě, </w:t>
      </w:r>
      <w:r w:rsidRPr="008A6F24">
        <w:lastRenderedPageBreak/>
        <w:t>v případě poranění velkých žil na krku i k tzv vzduchové embolii, kdy taková poranění by bylo nutno ze soudně lékařského hlediska hodnotit jako zranění těžká a vážná, při nichž dochází k bezprostřednímu ohrožení zraněné osoby na životě (bliže viz skutková věta obžaloby).</w:t>
      </w:r>
    </w:p>
    <w:p w:rsidR="008A6F24" w:rsidRDefault="008A6F24" w:rsidP="008A6F24">
      <w:r w:rsidRPr="008A6F24">
        <w:t>12. Soud prvního stupně provedl v dané věci dokazování, na základě něhož po jeho vyhodnocení postupem podle § 2 odst. 6 trestního řádu dospěl v podstatě ke stejným závěrům jako obžaloba. I on uzavřel, že mezi oběma aktéry došlo ke slovní rozepři a obžalovaná si dále po shora zmíněném opakovaném slovním spojení vůči poškozenému počínala tak, jak je ze skutkové věty napadeného rozsudku zřejmé. Uzavřel rovněž, že poškozený byl obžalovanou dvakrát po sobě při neměnné intenzitě násilí bodnut do zevní plochy horní poloviny levé paže a do zadní plochy horní třetiny levé paže. I on dospěl k závěru, že poškozený se výpadům bránil aktivním pohybem proti zraňujícímu předmětu a pokud by tak neučinil, hrozil reálně mnohem závažnější následek, než k němuž skutečně došlo (viz skutková věta napadeného rozsudku).</w:t>
      </w:r>
    </w:p>
    <w:p w:rsidR="008A6F24" w:rsidRDefault="008A6F24" w:rsidP="008A6F24">
      <w:r w:rsidRPr="008A6F24">
        <w:t>13. Vezmeme-li v úvahu v současné době formální pojetí trestného činu a okolností, za kterých mělo k jednání obžalované vůči poškozenému dojít, s přihlédnutím k jejím opakovaným verbálním projevům„ ty si myslíš, že tě nezabiju“, charakter zbraně, kterou obžalovaná zaútočila vůči poškozenému, jeho aktivní obranu a reálně hrozící následek v případě, že by se poškozený nebránil, je zjevné, že skutek popsaný v napadeném rozsudku vykazuje znaky zvlášť závažného zločinu vraždy dle § 140 odst. 1 trestního zákoníku ve stadiu pokusu dle § 21 odst. 1 trestního zákoníku Krajský soud při těchto úvahách musel věnovat významnou pozornost i hodnocení subjektivní stránky jednání obžalované, jakož i to, že mezi oběma aktéry došlo nejprve k předchozí slovní rozepři. Vnímat musel její charakter a zabýval se i otázkou významu případného demonstrativního chování obžalované před činem právě ve vztahu k zjišťování subjektivní stránky jednání obžalované.</w:t>
      </w:r>
    </w:p>
    <w:p w:rsidR="008A6F24" w:rsidRDefault="008A6F24" w:rsidP="008A6F24">
      <w:r w:rsidRPr="008A6F24">
        <w:t>14. K posouzení charakteru předchozí slovní rozepře obou aktérů nepochybně posloužila nahrávka, kterou měly k dispozici soudy obou stupňů, a před okresním soudem byla provedena k důkazu. V této souvislosti je možno připomenout, že poškozený vcelku logicky vysvětlil, z jakých důvodů zmíněnou nahrávku pořídil. Z té je zřejmé, že mezi obžalovanou a poškozeným panovaly neshody ohledně poskytování finančních prostředků poškozeným obžalované na obživu. Poškozený obžalované vysvětluje, že i ona by se měla podílet na chodu domácnosti, hovoří poměrně klidným hlasem a je to obžalovaná, která intenzitu roztržky mezi oběma stupňuje svými verbálními projevy, urážkami poškozeného, hlasitostí a intonací těchto projevů, které pak vyústily i v ničení zařízení místnosti a v útok obžalované vůči poškozenému popisovaný ve skutkové větě výroku napadeného rozsudku za užití zde popisované zbraně a předchozích opakovaných slovních projevů„ ty si myslíš, že tě nezabiju“. Takové jednání obžalované rozhodně nelze považovat za demonstrativní chování před činem (při zjišťování subjektivní stránky). Je pravdou, že obžalovaná pronesla na adresu poškozeného výhrůžky usmrcením v době, kdy mezi nimi probíhala hádka, obžalovaná evidentně jednala ve vzteku, nicméně její jednání následně vyústilo v uchopení dýky po jejím vytažení z dřevěného pouzdra visícího na zdi, kterou dvakrát po sobě při neměnné intenzitě násilí zaútočila vůči poškozenému. Těžší následek dále ve skutkové větě rozsudku soudu prvního stupně (a ostatně i obžaloby) popisovaný nevznikl díky aktivní obraně poškozeného. Způsob, jakým obžalovaná útočila vůči poškozenému a jakým držela popisovanou zbraň, byl zjišťován i příslušným znaleckým posudkem, který dal zapravdu verzi popisované v této věci poškozeným.</w:t>
      </w:r>
    </w:p>
    <w:p w:rsidR="008A6F24" w:rsidRDefault="008A6F24" w:rsidP="008A6F24">
      <w:r w:rsidRPr="008A6F24">
        <w:t>15. Znaleckým zkoumáním v dané trestní věci bylo zároveň zjištěno, že obžalovaná má snahu bagatelizovat své jednání vůči poškozenému a stavět se do role týrané ženy. Takové zjištění však z provedeného dokazování nevyplývá a ostatně ani ze zmíněné zvukové nahrávky nelze dovodit, že by to byla obžalovaná, která by měla mít v soužití s poškozeným takové postavení.</w:t>
      </w:r>
    </w:p>
    <w:p w:rsidR="008A6F24" w:rsidRDefault="008A6F24" w:rsidP="008A6F24">
      <w:r w:rsidRPr="008A6F24">
        <w:t xml:space="preserve">16. Je faktem, že poškozenému vzniklo zranění, které nelze s ohledem na jeho charakter označit jako těžké ublížení na zdraví, nicméně zároveň je nutno připomenout, jaké zranění poškozenému </w:t>
      </w:r>
      <w:r w:rsidRPr="008A6F24">
        <w:lastRenderedPageBreak/>
        <w:t>reálně hrozilo včetně ohrožení jeho života v případě, že by se útoku obžalované účinně nebránil. Krajský soud tak má za to, že obžalovaná musela být srozuměna s tím, že v důsledku jejího útoku vůči poškozenému reálně poškozenému hrozilo zranění, které by již bylo možno označit jako těžká újma na zdraví ve smyslu § 122 odst. 2 trestního zákoníku, resp. zranění, v důsledku nichž by poškozený byl reálně ohrožen na životě.</w:t>
      </w:r>
    </w:p>
    <w:p w:rsidR="008A6F24" w:rsidRDefault="008A6F24" w:rsidP="008A6F24">
      <w:r w:rsidRPr="008A6F24">
        <w:t>17. Sám znalec MUDr. Řehulka ve svém znaleckém posudku uvedl, že zranění poškozeného jsou ostrého charakteru, poškozený se výpadům dýky bránil aktivním pohybem, a pokud by k jeho obranným manévrům nedošlo, pak by dráze pohybující se čepele dýky byly vystaveny především oblasti obličejové části hlavy, krku a horní části přední či boční plochy hrudníku. Pokud by pak v důsledku toho došlo ke zranění popisovanému znalcem zejména na straně 190 spisu (viz znalecký posudek), jednalo by se o poranění, které by bylo nutno ze soudně lékařského hlediska hodnotit jako zranění těžká a vážná, při nichž dochází k bezprostřednímu ohrožení zraněné osoby na životě. Zároveň dodal, že dýka s délkou čepele cca 10 – 11 cm tak, jak byla znalci předložena prostřednictvím fotodokumentace, je předmět způsobilý zmíněná závažná a život ohrožující poranění přivodit.</w:t>
      </w:r>
    </w:p>
    <w:p w:rsidR="008A6F24" w:rsidRDefault="008A6F24" w:rsidP="008A6F24">
      <w:r w:rsidRPr="008A6F24">
        <w:t>18. Toto vše jsou momenty, které v rámci svého rozhodnutí soud prvního stupně nezvažoval a je zřejmé, že pokud byly zvažovány soudem odvolacím podmínky pro postup předložení věci k rozhodnutí o příslušnosti soudu, existovaly již v řízení před soudem prvního stupně. Pokud by soud prvního stupně své úvahy mířil stejným směrem jako soud odvolací, musel by dospět k závěru, že za této situace není s ohledem na ustanovení § 17 odst. 1 trestního řádu příslušný k projednání věci vzhledem k tomu, že podle zmíněného ustanovení krajský soud koná v prvním stupni řízení o trestných činech, pokud na ně zákon stanoví trest odnětí svobody, jehož dolní hranice činí nejméně pět let. Podle ustanovení § 140 odst. 1 trestního zákoníku (vražda) je na zde zmíněný trestný čin stanovena trestní sazba trestu odnětí svobody v rozmezí deset až osmnáct let. Je tedy evidentní, že k řízení v prvním stupni o této věci je vzhledem ke shora uvedeným úvahám příslušný krajský soud, v daném případě Krajský soud v Plzni. Závěr shora zmíněný je možno opřít o provedené dokazování před soudem prvního stupně a jeho vyhodnocení, kdy nikoli na základě možnosti či pravděpodobnosti by bylo možno jednání obžalované posuzovat jako jednání přísněji trestné oproti podané obžalobě s odkazem na ustanovení § 17 odst. 1 trestního zákoníku, ale na základě dokazování, z něhož přísnější posouzení jednání obžalované v dané věci reálně vyvěrá.</w:t>
      </w:r>
    </w:p>
    <w:p w:rsidR="008A6F24" w:rsidRDefault="008A6F24" w:rsidP="008A6F24">
      <w:r w:rsidRPr="008A6F24">
        <w:t>19. Shora zmíněné úvahy vedly krajský soud k postupu dle § 257 odst. 1 písm. a) trestního řádu, tedy ke zrušení napadeného rozsudku a k rozhodnutí o předložení věci k rozhodnutí o příslušnosti soudu, který je společně nadřízený soudu prvního stupně a soudu, který je podle soudu odvolacího příslušný k projednání věci. Společně nadřízeným soudem je tak Vrchní soud v Praze.</w:t>
      </w:r>
    </w:p>
    <w:p w:rsidR="00F11093" w:rsidRDefault="008A6F24" w:rsidP="008A6F24">
      <w:r w:rsidRPr="008A6F24">
        <w:t xml:space="preserve">20. K tomuto postupu přistoupil při vědomí, že odvolání proti shora uvedenému rozsudku bylo kromě obžalované a poškozeného </w:t>
      </w:r>
      <w:r>
        <w:t>[</w:t>
      </w:r>
      <w:r w:rsidR="009F31AE">
        <w:rPr>
          <w:shd w:val="clear" w:color="auto" w:fill="CCCCCC"/>
        </w:rPr>
        <w:t>jméno</w:t>
      </w:r>
      <w:r w:rsidRPr="008A6F24">
        <w:t>]</w:t>
      </w:r>
      <w:r w:rsidR="009F31AE">
        <w:t xml:space="preserve"> </w:t>
      </w:r>
      <w:r>
        <w:t>[</w:t>
      </w:r>
      <w:r w:rsidRPr="008A6F24">
        <w:rPr>
          <w:shd w:val="clear" w:color="auto" w:fill="CCCCCC"/>
        </w:rPr>
        <w:t>příjmení</w:t>
      </w:r>
      <w:r w:rsidRPr="008A6F24">
        <w:t>] podáno i státní zástupkyní pouze proti výroku o trestu v neprospěch obžalované. Je názoru, že zvoleným postupem není porušena zásada zákazu reformationis in peius, protože ta se nevztahuje na samotné řízení, ale na jeho výsledek, tedy na rozhodnutí. Jestliže je po zrušení rozhodnutí v odvolacím řízení zřejmé, že z důvodů věcné příslušnosti měl věc postoupit krajskému soudu již soud prvního stupně, je třeba tak učinit podle § 257 odst. 1 písm. a) trestního řádu i v případě, kdy by event. nebylo možno uznat obžalovaného vinným přísnějším trestným činem zakládajícím věcnou příslušnost podle § 17 trestního řádu (SR 12/2000). Takovou případnou situaci však nelze zatím předjímat.</w:t>
      </w:r>
    </w:p>
    <w:p w:rsidR="009F31AE" w:rsidRDefault="009F31AE" w:rsidP="008A6F24"/>
    <w:p w:rsidR="009F31AE" w:rsidRDefault="009F31AE" w:rsidP="008A6F24"/>
    <w:p w:rsidR="009F31AE" w:rsidRPr="008A6F24" w:rsidRDefault="009F31AE" w:rsidP="008A6F24"/>
    <w:p w:rsidR="008A0B5D" w:rsidRDefault="008A0B5D" w:rsidP="008A0B5D">
      <w:pPr>
        <w:pStyle w:val="Nadpisstirozsudku"/>
      </w:pPr>
      <w:r>
        <w:lastRenderedPageBreak/>
        <w:t>Poučení:</w:t>
      </w:r>
    </w:p>
    <w:p w:rsidR="006B14EC" w:rsidRPr="008A6F24" w:rsidRDefault="008A6F24" w:rsidP="008A6F24">
      <w:pPr>
        <w:jc w:val="left"/>
      </w:pPr>
      <w:r w:rsidRPr="008A6F24">
        <w:t>Proti tomuto rozhodnutí není přípustný další řádný opravný prostředek.</w:t>
      </w:r>
    </w:p>
    <w:p w:rsidR="006B14EC" w:rsidRPr="001F0625" w:rsidRDefault="008A6F24" w:rsidP="006B14EC">
      <w:pPr>
        <w:keepNext/>
        <w:spacing w:before="960"/>
        <w:rPr>
          <w:szCs w:val="22"/>
        </w:rPr>
      </w:pPr>
      <w:r>
        <w:rPr>
          <w:szCs w:val="22"/>
        </w:rPr>
        <w:t>Plzeň</w:t>
      </w:r>
      <w:r w:rsidR="006B14EC" w:rsidRPr="001F0625">
        <w:rPr>
          <w:szCs w:val="22"/>
        </w:rPr>
        <w:t xml:space="preserve"> </w:t>
      </w:r>
      <w:r>
        <w:t>21. listopadu 2018</w:t>
      </w:r>
    </w:p>
    <w:p w:rsidR="006B69A5" w:rsidRDefault="008A6F24" w:rsidP="00845CC2">
      <w:pPr>
        <w:keepNext/>
        <w:spacing w:before="480"/>
        <w:jc w:val="left"/>
      </w:pPr>
      <w:r>
        <w:t>Mgr. František Pokorný</w:t>
      </w:r>
      <w:r w:rsidR="009F31AE">
        <w:t xml:space="preserve"> v. r.</w:t>
      </w:r>
      <w:r w:rsidR="006B14EC">
        <w:br/>
      </w:r>
      <w:r>
        <w:t>předseda senátu</w:t>
      </w:r>
    </w:p>
    <w:sectPr w:rsidR="006B69A5" w:rsidSect="00B83118">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6AC" w:rsidRDefault="005B26AC" w:rsidP="00B83118">
      <w:pPr>
        <w:spacing w:after="0"/>
      </w:pPr>
      <w:r>
        <w:separator/>
      </w:r>
    </w:p>
  </w:endnote>
  <w:endnote w:type="continuationSeparator" w:id="0">
    <w:p w:rsidR="005B26AC" w:rsidRDefault="005B26AC" w:rsidP="00B831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F24" w:rsidRDefault="008A6F2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F24" w:rsidRDefault="008A6F24">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F24" w:rsidRDefault="008A6F24">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6AC" w:rsidRDefault="005B26AC" w:rsidP="00B83118">
      <w:pPr>
        <w:spacing w:after="0"/>
      </w:pPr>
      <w:r>
        <w:separator/>
      </w:r>
    </w:p>
  </w:footnote>
  <w:footnote w:type="continuationSeparator" w:id="0">
    <w:p w:rsidR="005B26AC" w:rsidRDefault="005B26AC" w:rsidP="00B831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F24" w:rsidRDefault="008A6F2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pPr>
      <w:pStyle w:val="Zhlav"/>
    </w:pPr>
    <w:r>
      <w:tab/>
    </w:r>
    <w:r>
      <w:fldChar w:fldCharType="begin"/>
    </w:r>
    <w:r>
      <w:instrText>PAGE   \* MERGEFORMAT</w:instrText>
    </w:r>
    <w:r>
      <w:fldChar w:fldCharType="separate"/>
    </w:r>
    <w:r w:rsidR="001270FE">
      <w:rPr>
        <w:noProof/>
      </w:rPr>
      <w:t>2</w:t>
    </w:r>
    <w:r>
      <w:fldChar w:fldCharType="end"/>
    </w:r>
    <w:r>
      <w:tab/>
    </w:r>
    <w:r w:rsidR="008A6F24">
      <w:t>50 To 431/2018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118" w:rsidRDefault="00B83118" w:rsidP="00B83118">
    <w:pPr>
      <w:pStyle w:val="Zhlav"/>
      <w:jc w:val="right"/>
    </w:pPr>
    <w:r>
      <w:t xml:space="preserve">Číslo jednací: </w:t>
    </w:r>
    <w:r w:rsidR="008A6F24">
      <w:t>50 To 431/2018 - 672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90936"/>
    <w:multiLevelType w:val="hybridMultilevel"/>
    <w:tmpl w:val="05086292"/>
    <w:lvl w:ilvl="0" w:tplc="B2C4BB7A">
      <w:start w:val="1"/>
      <w:numFmt w:val="upp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3ACF57E2"/>
    <w:multiLevelType w:val="hybridMultilevel"/>
    <w:tmpl w:val="646AA7D0"/>
    <w:lvl w:ilvl="0" w:tplc="04050013">
      <w:start w:val="1"/>
      <w:numFmt w:val="upperRoman"/>
      <w:lvlText w:val="%1."/>
      <w:lvlJc w:val="righ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41B92906"/>
    <w:multiLevelType w:val="hybridMultilevel"/>
    <w:tmpl w:val="68E81B32"/>
    <w:lvl w:ilvl="0" w:tplc="04050013">
      <w:start w:val="1"/>
      <w:numFmt w:val="upperRoman"/>
      <w:lvlText w:val="%1."/>
      <w:lvlJc w:val="right"/>
      <w:pPr>
        <w:ind w:left="1565" w:hanging="360"/>
      </w:pPr>
      <w:rPr>
        <w:rFonts w:hint="default"/>
      </w:rPr>
    </w:lvl>
    <w:lvl w:ilvl="1" w:tplc="04050019" w:tentative="1">
      <w:start w:val="1"/>
      <w:numFmt w:val="lowerLetter"/>
      <w:lvlText w:val="%2."/>
      <w:lvlJc w:val="left"/>
      <w:pPr>
        <w:ind w:left="2285" w:hanging="360"/>
      </w:pPr>
    </w:lvl>
    <w:lvl w:ilvl="2" w:tplc="0405001B" w:tentative="1">
      <w:start w:val="1"/>
      <w:numFmt w:val="lowerRoman"/>
      <w:lvlText w:val="%3."/>
      <w:lvlJc w:val="right"/>
      <w:pPr>
        <w:ind w:left="3005" w:hanging="180"/>
      </w:pPr>
    </w:lvl>
    <w:lvl w:ilvl="3" w:tplc="0405000F" w:tentative="1">
      <w:start w:val="1"/>
      <w:numFmt w:val="decimal"/>
      <w:lvlText w:val="%4."/>
      <w:lvlJc w:val="left"/>
      <w:pPr>
        <w:ind w:left="3725" w:hanging="360"/>
      </w:pPr>
    </w:lvl>
    <w:lvl w:ilvl="4" w:tplc="04050019" w:tentative="1">
      <w:start w:val="1"/>
      <w:numFmt w:val="lowerLetter"/>
      <w:lvlText w:val="%5."/>
      <w:lvlJc w:val="left"/>
      <w:pPr>
        <w:ind w:left="4445" w:hanging="360"/>
      </w:pPr>
    </w:lvl>
    <w:lvl w:ilvl="5" w:tplc="0405001B" w:tentative="1">
      <w:start w:val="1"/>
      <w:numFmt w:val="lowerRoman"/>
      <w:lvlText w:val="%6."/>
      <w:lvlJc w:val="right"/>
      <w:pPr>
        <w:ind w:left="5165" w:hanging="180"/>
      </w:pPr>
    </w:lvl>
    <w:lvl w:ilvl="6" w:tplc="0405000F" w:tentative="1">
      <w:start w:val="1"/>
      <w:numFmt w:val="decimal"/>
      <w:lvlText w:val="%7."/>
      <w:lvlJc w:val="left"/>
      <w:pPr>
        <w:ind w:left="5885" w:hanging="360"/>
      </w:pPr>
    </w:lvl>
    <w:lvl w:ilvl="7" w:tplc="04050019" w:tentative="1">
      <w:start w:val="1"/>
      <w:numFmt w:val="lowerLetter"/>
      <w:lvlText w:val="%8."/>
      <w:lvlJc w:val="left"/>
      <w:pPr>
        <w:ind w:left="6605" w:hanging="360"/>
      </w:pPr>
    </w:lvl>
    <w:lvl w:ilvl="8" w:tplc="0405001B" w:tentative="1">
      <w:start w:val="1"/>
      <w:numFmt w:val="lowerRoman"/>
      <w:lvlText w:val="%9."/>
      <w:lvlJc w:val="right"/>
      <w:pPr>
        <w:ind w:left="7325" w:hanging="180"/>
      </w:pPr>
    </w:lvl>
  </w:abstractNum>
  <w:abstractNum w:abstractNumId="3" w15:restartNumberingAfterBreak="0">
    <w:nsid w:val="5F963F85"/>
    <w:multiLevelType w:val="hybridMultilevel"/>
    <w:tmpl w:val="921A52D6"/>
    <w:lvl w:ilvl="0" w:tplc="73DEB00E">
      <w:start w:val="1"/>
      <w:numFmt w:val="upperRoman"/>
      <w:pStyle w:val="slovanvrok"/>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Vzor" w:val="AA02"/>
  </w:docVars>
  <w:rsids>
    <w:rsidRoot w:val="004203B8"/>
    <w:rsid w:val="00000E54"/>
    <w:rsid w:val="00012E95"/>
    <w:rsid w:val="000719D4"/>
    <w:rsid w:val="00073A74"/>
    <w:rsid w:val="000A01FA"/>
    <w:rsid w:val="000A2B05"/>
    <w:rsid w:val="000B1A50"/>
    <w:rsid w:val="000C0180"/>
    <w:rsid w:val="000E00A2"/>
    <w:rsid w:val="000F4402"/>
    <w:rsid w:val="001164A3"/>
    <w:rsid w:val="001270FE"/>
    <w:rsid w:val="001421E8"/>
    <w:rsid w:val="001514AB"/>
    <w:rsid w:val="001669E1"/>
    <w:rsid w:val="00170070"/>
    <w:rsid w:val="00174606"/>
    <w:rsid w:val="00174B60"/>
    <w:rsid w:val="00176782"/>
    <w:rsid w:val="00176E37"/>
    <w:rsid w:val="001975C8"/>
    <w:rsid w:val="001B681D"/>
    <w:rsid w:val="001C30B5"/>
    <w:rsid w:val="001E580C"/>
    <w:rsid w:val="001F35BB"/>
    <w:rsid w:val="001F7B07"/>
    <w:rsid w:val="002013C4"/>
    <w:rsid w:val="002056A2"/>
    <w:rsid w:val="002216DA"/>
    <w:rsid w:val="00225561"/>
    <w:rsid w:val="00233126"/>
    <w:rsid w:val="00234D4F"/>
    <w:rsid w:val="002A77C1"/>
    <w:rsid w:val="002C5F24"/>
    <w:rsid w:val="002D0AD5"/>
    <w:rsid w:val="002F1CEE"/>
    <w:rsid w:val="003111C2"/>
    <w:rsid w:val="00313787"/>
    <w:rsid w:val="00331E8A"/>
    <w:rsid w:val="0035680B"/>
    <w:rsid w:val="00361853"/>
    <w:rsid w:val="00383BA9"/>
    <w:rsid w:val="003926CC"/>
    <w:rsid w:val="003A37C4"/>
    <w:rsid w:val="003B38B9"/>
    <w:rsid w:val="003B7B1C"/>
    <w:rsid w:val="003C659A"/>
    <w:rsid w:val="003D0A5B"/>
    <w:rsid w:val="00417F11"/>
    <w:rsid w:val="004203B8"/>
    <w:rsid w:val="0042571C"/>
    <w:rsid w:val="00434AE9"/>
    <w:rsid w:val="00436E3D"/>
    <w:rsid w:val="0044684D"/>
    <w:rsid w:val="00446DEA"/>
    <w:rsid w:val="00473211"/>
    <w:rsid w:val="004A1EF9"/>
    <w:rsid w:val="004A5914"/>
    <w:rsid w:val="004A74B8"/>
    <w:rsid w:val="004B0928"/>
    <w:rsid w:val="004C7DF8"/>
    <w:rsid w:val="004F3881"/>
    <w:rsid w:val="00503B27"/>
    <w:rsid w:val="00503DE4"/>
    <w:rsid w:val="00511351"/>
    <w:rsid w:val="005250A5"/>
    <w:rsid w:val="00537B33"/>
    <w:rsid w:val="00540C15"/>
    <w:rsid w:val="00552EF7"/>
    <w:rsid w:val="00567131"/>
    <w:rsid w:val="00567427"/>
    <w:rsid w:val="00572B7F"/>
    <w:rsid w:val="0057488E"/>
    <w:rsid w:val="005A000B"/>
    <w:rsid w:val="005A4DE1"/>
    <w:rsid w:val="005A6E65"/>
    <w:rsid w:val="005B26AC"/>
    <w:rsid w:val="005D22A9"/>
    <w:rsid w:val="005D24AF"/>
    <w:rsid w:val="005F1575"/>
    <w:rsid w:val="00604F22"/>
    <w:rsid w:val="00613A5A"/>
    <w:rsid w:val="00617ECD"/>
    <w:rsid w:val="00642671"/>
    <w:rsid w:val="006474FE"/>
    <w:rsid w:val="00654C4F"/>
    <w:rsid w:val="006B14EC"/>
    <w:rsid w:val="006B3C27"/>
    <w:rsid w:val="006B3DFB"/>
    <w:rsid w:val="006B69A5"/>
    <w:rsid w:val="006D2084"/>
    <w:rsid w:val="006F0E2E"/>
    <w:rsid w:val="006F60BD"/>
    <w:rsid w:val="007501FE"/>
    <w:rsid w:val="007516B8"/>
    <w:rsid w:val="00771553"/>
    <w:rsid w:val="007B487E"/>
    <w:rsid w:val="007C71EA"/>
    <w:rsid w:val="007C7CA8"/>
    <w:rsid w:val="007E39CF"/>
    <w:rsid w:val="007F11B7"/>
    <w:rsid w:val="00807782"/>
    <w:rsid w:val="00845CC2"/>
    <w:rsid w:val="008527CE"/>
    <w:rsid w:val="0085450F"/>
    <w:rsid w:val="00856A9C"/>
    <w:rsid w:val="00860D5B"/>
    <w:rsid w:val="008703F5"/>
    <w:rsid w:val="008A029B"/>
    <w:rsid w:val="008A0B5D"/>
    <w:rsid w:val="008A6F24"/>
    <w:rsid w:val="008B5559"/>
    <w:rsid w:val="008D252B"/>
    <w:rsid w:val="008E0E38"/>
    <w:rsid w:val="008F75B7"/>
    <w:rsid w:val="009163EB"/>
    <w:rsid w:val="0092758B"/>
    <w:rsid w:val="00933274"/>
    <w:rsid w:val="00941B3B"/>
    <w:rsid w:val="00942E4D"/>
    <w:rsid w:val="0094685E"/>
    <w:rsid w:val="00970E18"/>
    <w:rsid w:val="009859E1"/>
    <w:rsid w:val="00993AC7"/>
    <w:rsid w:val="009F31AE"/>
    <w:rsid w:val="00A26B11"/>
    <w:rsid w:val="00A26CB2"/>
    <w:rsid w:val="00A456BC"/>
    <w:rsid w:val="00A479E4"/>
    <w:rsid w:val="00A7495D"/>
    <w:rsid w:val="00AC2E5F"/>
    <w:rsid w:val="00AC5CE3"/>
    <w:rsid w:val="00B0321B"/>
    <w:rsid w:val="00B27796"/>
    <w:rsid w:val="00B5161D"/>
    <w:rsid w:val="00B83118"/>
    <w:rsid w:val="00BD3335"/>
    <w:rsid w:val="00BD41F9"/>
    <w:rsid w:val="00BE05C2"/>
    <w:rsid w:val="00BE1B45"/>
    <w:rsid w:val="00BE3229"/>
    <w:rsid w:val="00BF04A3"/>
    <w:rsid w:val="00C1541A"/>
    <w:rsid w:val="00C45CC2"/>
    <w:rsid w:val="00C52C00"/>
    <w:rsid w:val="00C70353"/>
    <w:rsid w:val="00C721C5"/>
    <w:rsid w:val="00C7783E"/>
    <w:rsid w:val="00C941D1"/>
    <w:rsid w:val="00CA0B0E"/>
    <w:rsid w:val="00CA3A12"/>
    <w:rsid w:val="00CB30BB"/>
    <w:rsid w:val="00CB4027"/>
    <w:rsid w:val="00CC4728"/>
    <w:rsid w:val="00CD3600"/>
    <w:rsid w:val="00CE2E3A"/>
    <w:rsid w:val="00CE7753"/>
    <w:rsid w:val="00D021FC"/>
    <w:rsid w:val="00D22733"/>
    <w:rsid w:val="00D2392F"/>
    <w:rsid w:val="00D414F7"/>
    <w:rsid w:val="00D80197"/>
    <w:rsid w:val="00D8162D"/>
    <w:rsid w:val="00DB4AFB"/>
    <w:rsid w:val="00DD6756"/>
    <w:rsid w:val="00E028FD"/>
    <w:rsid w:val="00E102AB"/>
    <w:rsid w:val="00E1676B"/>
    <w:rsid w:val="00E25261"/>
    <w:rsid w:val="00E25ADF"/>
    <w:rsid w:val="00E40A50"/>
    <w:rsid w:val="00E44642"/>
    <w:rsid w:val="00E50664"/>
    <w:rsid w:val="00E77DA8"/>
    <w:rsid w:val="00EA5167"/>
    <w:rsid w:val="00EE024F"/>
    <w:rsid w:val="00EF3778"/>
    <w:rsid w:val="00F024FB"/>
    <w:rsid w:val="00F11093"/>
    <w:rsid w:val="00F240E4"/>
    <w:rsid w:val="00F308CF"/>
    <w:rsid w:val="00F3617B"/>
    <w:rsid w:val="00F52F99"/>
    <w:rsid w:val="00F54A66"/>
    <w:rsid w:val="00F66B0F"/>
    <w:rsid w:val="00F72C47"/>
    <w:rsid w:val="00F758AA"/>
    <w:rsid w:val="00F914FF"/>
    <w:rsid w:val="00F9277E"/>
    <w:rsid w:val="00F96142"/>
    <w:rsid w:val="00FC5371"/>
    <w:rsid w:val="00FC58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886990-4CE4-4B7B-A745-A9BE54028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72C47"/>
    <w:pPr>
      <w:autoSpaceDE w:val="0"/>
      <w:autoSpaceDN w:val="0"/>
      <w:adjustRightInd w:val="0"/>
      <w:spacing w:after="120"/>
      <w:jc w:val="both"/>
    </w:pPr>
    <w:rPr>
      <w:rFonts w:ascii="Garamond" w:eastAsia="Times New Roman" w:hAnsi="Garamond" w:cs="Calibri"/>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rozsudku">
    <w:name w:val="Text rozsudku"/>
    <w:basedOn w:val="Normln"/>
    <w:qFormat/>
    <w:rsid w:val="00E50664"/>
    <w:pPr>
      <w:ind w:firstLine="708"/>
      <w:textAlignment w:val="baseline"/>
    </w:pPr>
    <w:rPr>
      <w:szCs w:val="22"/>
    </w:rPr>
  </w:style>
  <w:style w:type="character" w:styleId="Odkaznakoment">
    <w:name w:val="annotation reference"/>
    <w:uiPriority w:val="99"/>
    <w:semiHidden/>
    <w:unhideWhenUsed/>
    <w:rsid w:val="00B0321B"/>
    <w:rPr>
      <w:sz w:val="16"/>
      <w:szCs w:val="16"/>
    </w:rPr>
  </w:style>
  <w:style w:type="paragraph" w:styleId="Textkomente">
    <w:name w:val="annotation text"/>
    <w:basedOn w:val="Normln"/>
    <w:link w:val="TextkomenteChar"/>
    <w:uiPriority w:val="99"/>
    <w:semiHidden/>
    <w:unhideWhenUsed/>
    <w:rsid w:val="00B0321B"/>
    <w:rPr>
      <w:rFonts w:ascii="Times New Roman" w:hAnsi="Times New Roman" w:cs="Times New Roman"/>
      <w:sz w:val="20"/>
    </w:rPr>
  </w:style>
  <w:style w:type="character" w:customStyle="1" w:styleId="TextkomenteChar">
    <w:name w:val="Text komentáře Char"/>
    <w:link w:val="Textkomente"/>
    <w:uiPriority w:val="99"/>
    <w:semiHidden/>
    <w:rsid w:val="00B0321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B0321B"/>
    <w:rPr>
      <w:b/>
      <w:bCs/>
    </w:rPr>
  </w:style>
  <w:style w:type="character" w:customStyle="1" w:styleId="PedmtkomenteChar">
    <w:name w:val="Předmět komentáře Char"/>
    <w:link w:val="Pedmtkomente"/>
    <w:uiPriority w:val="99"/>
    <w:semiHidden/>
    <w:rsid w:val="00B0321B"/>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B0321B"/>
    <w:rPr>
      <w:rFonts w:ascii="Tahoma" w:hAnsi="Tahoma" w:cs="Times New Roman"/>
      <w:sz w:val="16"/>
      <w:szCs w:val="16"/>
    </w:rPr>
  </w:style>
  <w:style w:type="character" w:customStyle="1" w:styleId="TextbublinyChar">
    <w:name w:val="Text bubliny Char"/>
    <w:link w:val="Textbubliny"/>
    <w:uiPriority w:val="99"/>
    <w:semiHidden/>
    <w:rsid w:val="00B0321B"/>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4203B8"/>
    <w:pPr>
      <w:ind w:left="720"/>
      <w:contextualSpacing/>
    </w:pPr>
  </w:style>
  <w:style w:type="paragraph" w:customStyle="1" w:styleId="Nadpisstirozsudku">
    <w:name w:val="Nadpis části rozsudku"/>
    <w:basedOn w:val="Normln"/>
    <w:link w:val="NadpisstirozsudkuChar"/>
    <w:qFormat/>
    <w:rsid w:val="008A0B5D"/>
    <w:pPr>
      <w:spacing w:before="240"/>
      <w:jc w:val="center"/>
    </w:pPr>
    <w:rPr>
      <w:b/>
    </w:rPr>
  </w:style>
  <w:style w:type="character" w:customStyle="1" w:styleId="NadpisstirozsudkuChar">
    <w:name w:val="Nadpis části rozsudku Char"/>
    <w:basedOn w:val="Standardnpsmoodstavce"/>
    <w:link w:val="Nadpisstirozsudku"/>
    <w:rsid w:val="008A0B5D"/>
    <w:rPr>
      <w:rFonts w:ascii="Garamond" w:eastAsia="Times New Roman" w:hAnsi="Garamond" w:cs="Calibri"/>
      <w:b/>
      <w:sz w:val="24"/>
    </w:rPr>
  </w:style>
  <w:style w:type="paragraph" w:customStyle="1" w:styleId="slovanvrok">
    <w:name w:val="Číslovaný výrok"/>
    <w:basedOn w:val="Odstavecseseznamem"/>
    <w:link w:val="slovanvrokChar"/>
    <w:qFormat/>
    <w:rsid w:val="00941B3B"/>
    <w:pPr>
      <w:numPr>
        <w:numId w:val="4"/>
      </w:numPr>
      <w:ind w:left="568" w:hanging="284"/>
      <w:contextualSpacing w:val="0"/>
    </w:pPr>
  </w:style>
  <w:style w:type="character" w:customStyle="1" w:styleId="OdstavecseseznamemChar">
    <w:name w:val="Odstavec se seznamem Char"/>
    <w:basedOn w:val="Standardnpsmoodstavce"/>
    <w:link w:val="Odstavecseseznamem"/>
    <w:uiPriority w:val="34"/>
    <w:rsid w:val="004F3881"/>
    <w:rPr>
      <w:rFonts w:ascii="Garamond" w:eastAsia="Times New Roman" w:hAnsi="Garamond" w:cs="Calibri"/>
      <w:sz w:val="24"/>
    </w:rPr>
  </w:style>
  <w:style w:type="character" w:customStyle="1" w:styleId="slovanvrokChar">
    <w:name w:val="Číslovaný výrok Char"/>
    <w:basedOn w:val="OdstavecseseznamemChar"/>
    <w:link w:val="slovanvrok"/>
    <w:rsid w:val="00941B3B"/>
    <w:rPr>
      <w:rFonts w:ascii="Garamond" w:eastAsia="Times New Roman" w:hAnsi="Garamond" w:cs="Calibri"/>
      <w:sz w:val="24"/>
    </w:rPr>
  </w:style>
  <w:style w:type="paragraph" w:customStyle="1" w:styleId="Neslovanvrok">
    <w:name w:val="Nečíslovaný výrok"/>
    <w:basedOn w:val="slovanvrok"/>
    <w:link w:val="NeslovanvrokChar"/>
    <w:qFormat/>
    <w:rsid w:val="00941B3B"/>
    <w:pPr>
      <w:numPr>
        <w:numId w:val="0"/>
      </w:numPr>
      <w:ind w:left="567"/>
    </w:pPr>
  </w:style>
  <w:style w:type="character" w:customStyle="1" w:styleId="NeslovanvrokChar">
    <w:name w:val="Nečíslovaný výrok Char"/>
    <w:basedOn w:val="slovanvrokChar"/>
    <w:link w:val="Neslovanvrok"/>
    <w:rsid w:val="00941B3B"/>
    <w:rPr>
      <w:rFonts w:ascii="Garamond" w:eastAsia="Times New Roman" w:hAnsi="Garamond" w:cs="Calibri"/>
      <w:sz w:val="24"/>
    </w:rPr>
  </w:style>
  <w:style w:type="paragraph" w:customStyle="1" w:styleId="Odstaveczhlav">
    <w:name w:val="Odstavec záhlaví"/>
    <w:basedOn w:val="Neslovanvrok"/>
    <w:link w:val="OdstaveczhlavChar"/>
    <w:qFormat/>
    <w:rsid w:val="000E00A2"/>
    <w:pPr>
      <w:tabs>
        <w:tab w:val="left" w:pos="1985"/>
      </w:tabs>
      <w:spacing w:before="120" w:after="0"/>
      <w:ind w:left="1985" w:hanging="1985"/>
    </w:pPr>
  </w:style>
  <w:style w:type="character" w:customStyle="1" w:styleId="OdstaveczhlavChar">
    <w:name w:val="Odstavec záhlaví Char"/>
    <w:basedOn w:val="NeslovanvrokChar"/>
    <w:link w:val="Odstaveczhlav"/>
    <w:rsid w:val="000E00A2"/>
    <w:rPr>
      <w:rFonts w:ascii="Garamond" w:eastAsia="Times New Roman" w:hAnsi="Garamond" w:cs="Calibri"/>
      <w:sz w:val="24"/>
    </w:rPr>
  </w:style>
  <w:style w:type="paragraph" w:styleId="Zhlav">
    <w:name w:val="header"/>
    <w:basedOn w:val="Normln"/>
    <w:link w:val="ZhlavChar"/>
    <w:uiPriority w:val="99"/>
    <w:unhideWhenUsed/>
    <w:rsid w:val="00B83118"/>
    <w:pPr>
      <w:tabs>
        <w:tab w:val="center" w:pos="4536"/>
        <w:tab w:val="right" w:pos="9072"/>
      </w:tabs>
      <w:spacing w:after="0"/>
    </w:pPr>
  </w:style>
  <w:style w:type="character" w:customStyle="1" w:styleId="ZhlavChar">
    <w:name w:val="Záhlaví Char"/>
    <w:basedOn w:val="Standardnpsmoodstavce"/>
    <w:link w:val="Zhlav"/>
    <w:uiPriority w:val="99"/>
    <w:rsid w:val="00B83118"/>
    <w:rPr>
      <w:rFonts w:ascii="Garamond" w:eastAsia="Times New Roman" w:hAnsi="Garamond" w:cs="Calibri"/>
      <w:sz w:val="24"/>
    </w:rPr>
  </w:style>
  <w:style w:type="paragraph" w:styleId="Zpat">
    <w:name w:val="footer"/>
    <w:basedOn w:val="Normln"/>
    <w:link w:val="ZpatChar"/>
    <w:uiPriority w:val="99"/>
    <w:unhideWhenUsed/>
    <w:rsid w:val="00B83118"/>
    <w:pPr>
      <w:tabs>
        <w:tab w:val="center" w:pos="4536"/>
        <w:tab w:val="right" w:pos="9072"/>
      </w:tabs>
      <w:spacing w:after="0"/>
    </w:pPr>
  </w:style>
  <w:style w:type="character" w:customStyle="1" w:styleId="ZpatChar">
    <w:name w:val="Zápatí Char"/>
    <w:basedOn w:val="Standardnpsmoodstavce"/>
    <w:link w:val="Zpat"/>
    <w:uiPriority w:val="99"/>
    <w:rsid w:val="00B83118"/>
    <w:rPr>
      <w:rFonts w:ascii="Garamond" w:eastAsia="Times New Roman" w:hAnsi="Garamond" w:cs="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7503">
      <w:bodyDiv w:val="1"/>
      <w:marLeft w:val="0"/>
      <w:marRight w:val="0"/>
      <w:marTop w:val="0"/>
      <w:marBottom w:val="0"/>
      <w:divBdr>
        <w:top w:val="none" w:sz="0" w:space="0" w:color="auto"/>
        <w:left w:val="none" w:sz="0" w:space="0" w:color="auto"/>
        <w:bottom w:val="none" w:sz="0" w:space="0" w:color="auto"/>
        <w:right w:val="none" w:sz="0" w:space="0" w:color="auto"/>
      </w:divBdr>
    </w:div>
    <w:div w:id="1524711226">
      <w:bodyDiv w:val="1"/>
      <w:marLeft w:val="0"/>
      <w:marRight w:val="0"/>
      <w:marTop w:val="0"/>
      <w:marBottom w:val="0"/>
      <w:divBdr>
        <w:top w:val="none" w:sz="0" w:space="0" w:color="auto"/>
        <w:left w:val="none" w:sz="0" w:space="0" w:color="auto"/>
        <w:bottom w:val="none" w:sz="0" w:space="0" w:color="auto"/>
        <w:right w:val="none" w:sz="0" w:space="0" w:color="auto"/>
      </w:divBdr>
    </w:div>
    <w:div w:id="158919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3003</Words>
  <Characters>17723</Characters>
  <Application>Microsoft Office Word</Application>
  <DocSecurity>0</DocSecurity>
  <Lines>147</Lines>
  <Paragraphs>41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Kuchařová Marcela</dc:creator>
  <cp:lastModifiedBy>Kuchařová Marcela</cp:lastModifiedBy>
  <cp:revision>2</cp:revision>
  <cp:lastPrinted>2018-07-30T21:25:00Z</cp:lastPrinted>
  <dcterms:created xsi:type="dcterms:W3CDTF">2022-11-04T07:09:00Z</dcterms:created>
  <dcterms:modified xsi:type="dcterms:W3CDTF">2022-11-04T07:09:00Z</dcterms:modified>
</cp:coreProperties>
</file>